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D8045">
      <w:pPr>
        <w:spacing w:line="5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关于臧家庄镇二0二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五</w:t>
      </w:r>
      <w:r>
        <w:rPr>
          <w:rFonts w:hint="eastAsia" w:ascii="宋体" w:hAnsi="宋体"/>
          <w:b/>
          <w:sz w:val="36"/>
          <w:szCs w:val="36"/>
        </w:rPr>
        <w:t>年财政预算执行情况</w:t>
      </w:r>
    </w:p>
    <w:p w14:paraId="43B6563B">
      <w:pPr>
        <w:spacing w:line="5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和二0二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六</w:t>
      </w:r>
      <w:r>
        <w:rPr>
          <w:rFonts w:hint="eastAsia" w:ascii="宋体" w:hAnsi="宋体"/>
          <w:b/>
          <w:sz w:val="36"/>
          <w:szCs w:val="36"/>
        </w:rPr>
        <w:t>年财政预算（草案）的报告</w:t>
      </w:r>
    </w:p>
    <w:p w14:paraId="2A08AFD1">
      <w:pPr>
        <w:spacing w:line="500" w:lineRule="exact"/>
        <w:rPr>
          <w:rFonts w:hint="eastAsia" w:ascii="仿宋_GB2312" w:eastAsia="仿宋_GB2312"/>
          <w:sz w:val="32"/>
          <w:szCs w:val="32"/>
        </w:rPr>
      </w:pPr>
    </w:p>
    <w:p w14:paraId="2F8275BC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镇党委、政府的正确领导下，在镇人大代表的监督支持下，全镇上下齐心协力，团结奋斗，以经济建设为中心，把赶超发展、和谐发展作为主旋律，充分调动广大干部群众的凝聚力、干事创业的积极性，抓住机遇，</w:t>
      </w:r>
      <w:r>
        <w:rPr>
          <w:rFonts w:hint="eastAsia" w:ascii="仿宋_GB2312" w:eastAsia="仿宋_GB2312"/>
          <w:color w:val="auto"/>
          <w:sz w:val="32"/>
          <w:szCs w:val="32"/>
        </w:rPr>
        <w:t>克服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困难</w:t>
      </w:r>
      <w:r>
        <w:rPr>
          <w:rFonts w:hint="eastAsia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</w:rPr>
        <w:t>全镇经济持续、稳定、健康发展，财政状况大有改观，圆满完成了预算任务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预算执行情况良好。</w:t>
      </w:r>
    </w:p>
    <w:p w14:paraId="46C3FDAF">
      <w:pPr>
        <w:spacing w:line="50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一、202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5</w:t>
      </w:r>
      <w:r>
        <w:rPr>
          <w:rFonts w:hint="eastAsia" w:ascii="黑体" w:eastAsia="黑体"/>
          <w:b/>
          <w:sz w:val="32"/>
          <w:szCs w:val="32"/>
        </w:rPr>
        <w:t>年财政预算执行情况</w:t>
      </w:r>
    </w:p>
    <w:p w14:paraId="69BFECD5">
      <w:pPr>
        <w:spacing w:line="500" w:lineRule="exact"/>
        <w:ind w:firstLine="480" w:firstLineChars="15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（一）财政收入</w:t>
      </w:r>
    </w:p>
    <w:p w14:paraId="6C43715D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一般公共预算</w:t>
      </w:r>
      <w:r>
        <w:rPr>
          <w:rFonts w:hint="eastAsia" w:ascii="仿宋_GB2312" w:eastAsia="仿宋_GB2312"/>
          <w:sz w:val="32"/>
          <w:szCs w:val="32"/>
        </w:rPr>
        <w:t>收入完成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7072</w:t>
      </w:r>
      <w:r>
        <w:rPr>
          <w:rFonts w:hint="eastAsia" w:ascii="仿宋_GB2312" w:eastAsia="仿宋_GB2312"/>
          <w:sz w:val="32"/>
          <w:szCs w:val="32"/>
        </w:rPr>
        <w:t>万元。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其中：</w:t>
      </w:r>
      <w:r>
        <w:rPr>
          <w:rFonts w:hint="eastAsia" w:ascii="仿宋_GB2312" w:eastAsia="仿宋_GB2312"/>
          <w:sz w:val="32"/>
          <w:szCs w:val="32"/>
        </w:rPr>
        <w:t>增值税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3381万元，企业所得税475万元，个人所得税43万元，资源税1227万元，城市维护建设税588万元，房产税605万元，印花税53万元，城镇土地使用税400万元，土地增值税50万元，教育费附加250万元。</w:t>
      </w:r>
    </w:p>
    <w:p w14:paraId="44395EA6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2025年上级补助收入1797万元，主要用于村级公益事业和村级组织运转经费，助力乡村振兴。</w:t>
      </w:r>
    </w:p>
    <w:p w14:paraId="4C2022DF">
      <w:pPr>
        <w:spacing w:line="50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2025年结算补助收入335万元。</w:t>
      </w:r>
    </w:p>
    <w:p w14:paraId="56E0122B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（二）财政支出</w:t>
      </w:r>
    </w:p>
    <w:p w14:paraId="6498BD17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一般公共预算</w:t>
      </w:r>
      <w:r>
        <w:rPr>
          <w:rFonts w:hint="eastAsia" w:ascii="仿宋_GB2312" w:eastAsia="仿宋_GB2312"/>
          <w:sz w:val="32"/>
          <w:szCs w:val="32"/>
        </w:rPr>
        <w:t>支出为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8373</w:t>
      </w:r>
      <w:r>
        <w:rPr>
          <w:rFonts w:hint="eastAsia" w:ascii="仿宋_GB2312" w:eastAsia="仿宋_GB2312"/>
          <w:sz w:val="32"/>
          <w:szCs w:val="32"/>
        </w:rPr>
        <w:t>万元。其中：一般公共服务支出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1910</w:t>
      </w:r>
      <w:r>
        <w:rPr>
          <w:rFonts w:hint="eastAsia" w:ascii="仿宋_GB2312" w:eastAsia="仿宋_GB2312"/>
          <w:sz w:val="32"/>
          <w:szCs w:val="32"/>
        </w:rPr>
        <w:t>万元，教育支出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64</w:t>
      </w:r>
      <w:r>
        <w:rPr>
          <w:rFonts w:hint="eastAsia" w:ascii="仿宋_GB2312" w:eastAsia="仿宋_GB2312"/>
          <w:sz w:val="32"/>
          <w:szCs w:val="32"/>
        </w:rPr>
        <w:t>万元，文化事业支出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915</w:t>
      </w:r>
      <w:r>
        <w:rPr>
          <w:rFonts w:hint="eastAsia" w:ascii="仿宋_GB2312" w:eastAsia="仿宋_GB2312"/>
          <w:sz w:val="32"/>
          <w:szCs w:val="32"/>
        </w:rPr>
        <w:t>万元，社会保障和就业支出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937</w:t>
      </w:r>
      <w:r>
        <w:rPr>
          <w:rFonts w:hint="eastAsia" w:ascii="仿宋_GB2312" w:eastAsia="仿宋_GB2312"/>
          <w:sz w:val="32"/>
          <w:szCs w:val="32"/>
        </w:rPr>
        <w:t>万元，卫生健康支出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469</w:t>
      </w:r>
      <w:r>
        <w:rPr>
          <w:rFonts w:hint="eastAsia" w:ascii="仿宋_GB2312" w:eastAsia="仿宋_GB2312"/>
          <w:sz w:val="32"/>
          <w:szCs w:val="32"/>
        </w:rPr>
        <w:t>万元,城乡社区支出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万元，农林水支出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3747</w:t>
      </w:r>
      <w:r>
        <w:rPr>
          <w:rFonts w:hint="eastAsia" w:ascii="仿宋_GB2312" w:eastAsia="仿宋_GB2312"/>
          <w:sz w:val="32"/>
          <w:szCs w:val="32"/>
        </w:rPr>
        <w:t>万元，住房保障支出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319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30D46F9E">
      <w:pPr>
        <w:spacing w:line="50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2025年上解支出831万元。</w:t>
      </w:r>
    </w:p>
    <w:p w14:paraId="1AA2B842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各位代表，以上决算情况表明，202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年在政策性减收增支因素多，支出压力大的情况下，我们压缩了办公费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委托业务费等相关费用的</w:t>
      </w:r>
      <w:r>
        <w:rPr>
          <w:rFonts w:hint="eastAsia" w:ascii="仿宋_GB2312" w:eastAsia="仿宋_GB2312"/>
          <w:sz w:val="32"/>
          <w:szCs w:val="32"/>
        </w:rPr>
        <w:t>支出，并积极向上级部门争取专款，确保</w:t>
      </w:r>
      <w:r>
        <w:rPr>
          <w:rFonts w:hint="eastAsia" w:ascii="仿宋_GB2312" w:eastAsia="仿宋_GB2312"/>
          <w:color w:val="auto"/>
          <w:sz w:val="32"/>
          <w:szCs w:val="32"/>
        </w:rPr>
        <w:t>了财政的正常运转。在镇级财力相对紧张的情况下，首先保证了工资的正常发放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保障了村镇环卫的公司化托管</w:t>
      </w:r>
      <w:r>
        <w:rPr>
          <w:rFonts w:hint="eastAsia" w:ascii="仿宋_GB2312" w:eastAsia="仿宋_GB2312"/>
          <w:color w:val="auto"/>
          <w:sz w:val="32"/>
          <w:szCs w:val="32"/>
        </w:rPr>
        <w:t>,又对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镇域发展</w:t>
      </w:r>
      <w:r>
        <w:rPr>
          <w:rFonts w:hint="eastAsia" w:ascii="仿宋_GB2312" w:eastAsia="仿宋_GB2312"/>
          <w:color w:val="auto"/>
          <w:sz w:val="32"/>
          <w:szCs w:val="32"/>
        </w:rPr>
        <w:t>进行了详细的规划建设，为镇域经济发展奠定了坚实的基础，镇村生活环境发生了显著变化，人民群众的幸福感不断提高。这些成绩的取得，是在镇党委、政府的</w:t>
      </w:r>
      <w:r>
        <w:rPr>
          <w:rFonts w:hint="eastAsia" w:ascii="仿宋_GB2312" w:eastAsia="仿宋_GB2312"/>
          <w:sz w:val="32"/>
          <w:szCs w:val="32"/>
        </w:rPr>
        <w:t>正确领导下，全镇人大代表的有效监督检查下取得的结果，同时也是财税部门与各方面密切配合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共同努力的结果。回顾一年来的工作，我们在加强经济建设，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稳</w:t>
      </w:r>
      <w:r>
        <w:rPr>
          <w:rFonts w:hint="eastAsia" w:ascii="仿宋_GB2312" w:eastAsia="仿宋_GB2312"/>
          <w:sz w:val="32"/>
          <w:szCs w:val="32"/>
        </w:rPr>
        <w:t>抓增收节支方面，主要做了以下几方面工作：</w:t>
      </w:r>
    </w:p>
    <w:p w14:paraId="483CA2E2">
      <w:p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1、进一步加大税收征管力度，保证全年收入超额完成任务。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年按照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区</w:t>
      </w:r>
      <w:r>
        <w:rPr>
          <w:rFonts w:hint="eastAsia" w:ascii="仿宋_GB2312" w:eastAsia="仿宋_GB2312"/>
          <w:sz w:val="32"/>
          <w:szCs w:val="32"/>
        </w:rPr>
        <w:t>政府给我镇下达的工商税收任务，我们积极协调税务部门，充分发挥各自的职能作用，严格依法治税，加大税收稽查和清欠力度，完善税源动态监督，加强税收征管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另外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我们还积极协调一些零散税收的入库工作，确保税收收入的应收尽收，形成了社会综合治税和组织收入的强大合力，为全面完成财政收入任务奠定了坚实的基础。</w:t>
      </w:r>
    </w:p>
    <w:p w14:paraId="7CBD1FD2">
      <w:p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2、</w:t>
      </w:r>
      <w:r>
        <w:rPr>
          <w:rFonts w:hint="eastAsia" w:ascii="楷体_GB2312" w:eastAsia="楷体_GB2312"/>
          <w:b/>
          <w:sz w:val="32"/>
          <w:szCs w:val="32"/>
          <w:lang w:val="en-US" w:eastAsia="zh-CN"/>
        </w:rPr>
        <w:t>稳</w:t>
      </w:r>
      <w:r>
        <w:rPr>
          <w:rFonts w:hint="eastAsia" w:ascii="楷体_GB2312" w:eastAsia="楷体_GB2312"/>
          <w:b/>
          <w:sz w:val="32"/>
          <w:szCs w:val="32"/>
        </w:rPr>
        <w:t>抓“双增双节”，努力实现增收节支。</w:t>
      </w:r>
      <w:r>
        <w:rPr>
          <w:rFonts w:hint="eastAsia" w:ascii="仿宋_GB2312" w:eastAsia="仿宋_GB2312"/>
          <w:sz w:val="32"/>
          <w:szCs w:val="32"/>
        </w:rPr>
        <w:t>围绕经济建设这个中心，政府出台了一系列有利于企业发展的政策和措施，为全镇的工商业户营造一个良好的发展环境，全镇的工商业发展迅速，财政收入稳步增长，同时对财政支出也实行预算包干和定点定额管理，坚持量入为出的原则，使我镇的财政支出牢牢控制在财力许可的范围内。对机关内部的办公费实行了严格控制，特别是车辆、电费的支出，以及政府采购的物资都制定了相应的制度，使机关的财务管理逐步走向正规化。</w:t>
      </w:r>
    </w:p>
    <w:p w14:paraId="5ED704A7">
      <w:p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3、进一步强化经济支柱产业的发展，为我镇的经济腾飞奠定了基础。</w:t>
      </w:r>
      <w:r>
        <w:rPr>
          <w:rFonts w:hint="eastAsia" w:ascii="仿宋_GB2312" w:eastAsia="仿宋_GB2312"/>
          <w:sz w:val="32"/>
          <w:szCs w:val="32"/>
        </w:rPr>
        <w:t>党委、政府立足本地资源，用发展的眼光从各方面进行了充分的考察论证，理清了思路，确定了水泥建材、果业生产、畜牧养殖和国家新兴产业四大经济支柱。政府出资组织、联系有关专家开展送科技下乡活动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为农民传授果树管理以及高效养殖的科学方法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并组建专门招商引资队伍，以我镇濒临烟台的良好区位优势和石灰石资源丰富的优势，广泛开展招商活动。目前我镇已形成果品、畜牧、水泥建材、新兴产业</w:t>
      </w:r>
      <w:r>
        <w:rPr>
          <w:rFonts w:hint="eastAsia" w:ascii="仿宋_GB2312" w:hAnsi="宋体" w:eastAsia="仿宋_GB2312" w:cs="宋体"/>
          <w:sz w:val="32"/>
          <w:szCs w:val="32"/>
        </w:rPr>
        <w:t>齐头并进</w:t>
      </w:r>
      <w:r>
        <w:rPr>
          <w:rFonts w:hint="eastAsia" w:ascii="仿宋_GB2312" w:eastAsia="仿宋_GB2312"/>
          <w:sz w:val="32"/>
          <w:szCs w:val="32"/>
        </w:rPr>
        <w:t>发展的新格局，使我镇的经济发展呈现出了良好的发展态势。</w:t>
      </w:r>
    </w:p>
    <w:p w14:paraId="32F18D2D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总之，二0二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五</w:t>
      </w:r>
      <w:r>
        <w:rPr>
          <w:rFonts w:hint="eastAsia" w:ascii="仿宋_GB2312" w:eastAsia="仿宋_GB2312"/>
          <w:sz w:val="32"/>
          <w:szCs w:val="32"/>
        </w:rPr>
        <w:t>年我镇财政预算执行情况良好，但财政面临的困难仍不容忽视，我们相信在党委、政府的正确领导下，全镇人民团结一心，努力奋斗，顽强拼搏，众志成城，一定能够战胜各方面的困难，实现新的突破。</w:t>
      </w:r>
    </w:p>
    <w:p w14:paraId="3D05F9E6">
      <w:pPr>
        <w:spacing w:line="500" w:lineRule="exact"/>
        <w:ind w:firstLine="643" w:firstLineChars="20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二、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2026</w:t>
      </w:r>
      <w:r>
        <w:rPr>
          <w:rFonts w:hint="eastAsia" w:ascii="黑体" w:eastAsia="黑体"/>
          <w:b/>
          <w:sz w:val="32"/>
          <w:szCs w:val="32"/>
        </w:rPr>
        <w:t>年财政预算安排</w:t>
      </w:r>
    </w:p>
    <w:p w14:paraId="39D20916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二0二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年我镇财政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一般公共预算</w:t>
      </w:r>
      <w:r>
        <w:rPr>
          <w:rFonts w:hint="eastAsia" w:ascii="仿宋_GB2312" w:eastAsia="仿宋_GB2312"/>
          <w:sz w:val="32"/>
          <w:szCs w:val="32"/>
        </w:rPr>
        <w:t>收入安排为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7426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ascii="仿宋_GB2312"/>
          <w:sz w:val="32"/>
          <w:szCs w:val="32"/>
        </w:rPr>
        <w:t>比上年增</w:t>
      </w:r>
      <w:r>
        <w:rPr>
          <w:rFonts w:ascii="仿宋_GB2312"/>
          <w:color w:val="auto"/>
          <w:sz w:val="32"/>
          <w:szCs w:val="32"/>
        </w:rPr>
        <w:t>长</w:t>
      </w:r>
      <w:r>
        <w:rPr>
          <w:rFonts w:hint="eastAsia" w:ascii="仿宋_GB2312"/>
          <w:color w:val="auto"/>
          <w:sz w:val="32"/>
          <w:szCs w:val="32"/>
          <w:lang w:val="en-US" w:eastAsia="zh-CN"/>
        </w:rPr>
        <w:t>5.01</w:t>
      </w:r>
      <w:r>
        <w:rPr>
          <w:rFonts w:hint="eastAsia" w:ascii="仿宋_GB2312"/>
          <w:color w:val="auto"/>
          <w:sz w:val="32"/>
          <w:szCs w:val="32"/>
        </w:rPr>
        <w:t xml:space="preserve"> </w:t>
      </w:r>
      <w:r>
        <w:rPr>
          <w:rFonts w:ascii="仿宋_GB2312"/>
          <w:color w:val="auto"/>
          <w:sz w:val="32"/>
          <w:szCs w:val="32"/>
        </w:rPr>
        <w:t>%</w:t>
      </w:r>
      <w:r>
        <w:rPr>
          <w:rFonts w:hint="eastAsia" w:ascii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其中：</w:t>
      </w:r>
      <w:r>
        <w:rPr>
          <w:rFonts w:hint="eastAsia" w:ascii="仿宋_GB2312" w:eastAsia="仿宋_GB2312"/>
          <w:sz w:val="32"/>
          <w:szCs w:val="32"/>
        </w:rPr>
        <w:t>增值税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3550万元，企业所得税499万元，个人所得税45万元，资源税1288万元，城市维护建设税617万元，房产税635万元，印花税56万元，城镇土地使用税420万元， 土地增值税53万元，教育费附加263万元。</w:t>
      </w:r>
    </w:p>
    <w:p w14:paraId="2B4D238F">
      <w:pPr>
        <w:spacing w:line="5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二0二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一般公共</w:t>
      </w:r>
      <w:r>
        <w:rPr>
          <w:rFonts w:hint="eastAsia" w:ascii="仿宋_GB2312" w:eastAsia="仿宋_GB2312"/>
          <w:sz w:val="32"/>
          <w:szCs w:val="32"/>
        </w:rPr>
        <w:t>预算支出安排为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8800</w:t>
      </w:r>
      <w:r>
        <w:rPr>
          <w:rFonts w:hint="eastAsia" w:ascii="仿宋_GB2312" w:eastAsia="仿宋_GB2312"/>
          <w:sz w:val="32"/>
          <w:szCs w:val="32"/>
        </w:rPr>
        <w:t>万元，其中:一般公共服务支出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2300</w:t>
      </w:r>
      <w:r>
        <w:rPr>
          <w:rFonts w:hint="eastAsia" w:ascii="仿宋_GB2312" w:eastAsia="仿宋_GB2312"/>
          <w:sz w:val="32"/>
          <w:szCs w:val="32"/>
        </w:rPr>
        <w:t>万元，教育支出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70</w:t>
      </w:r>
      <w:r>
        <w:rPr>
          <w:rFonts w:hint="eastAsia" w:ascii="仿宋_GB2312" w:eastAsia="仿宋_GB2312"/>
          <w:sz w:val="32"/>
          <w:szCs w:val="32"/>
        </w:rPr>
        <w:t>万元，文化事业支出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920</w:t>
      </w:r>
      <w:r>
        <w:rPr>
          <w:rFonts w:hint="eastAsia" w:ascii="仿宋_GB2312" w:eastAsia="仿宋_GB2312"/>
          <w:sz w:val="32"/>
          <w:szCs w:val="32"/>
        </w:rPr>
        <w:t>万元，社会保障和就业支出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950</w:t>
      </w:r>
      <w:r>
        <w:rPr>
          <w:rFonts w:hint="eastAsia" w:ascii="仿宋_GB2312" w:eastAsia="仿宋_GB2312"/>
          <w:sz w:val="32"/>
          <w:szCs w:val="32"/>
        </w:rPr>
        <w:t>万元，卫生健康支出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480</w:t>
      </w:r>
      <w:r>
        <w:rPr>
          <w:rFonts w:hint="eastAsia" w:ascii="仿宋_GB2312" w:eastAsia="仿宋_GB2312"/>
          <w:sz w:val="32"/>
          <w:szCs w:val="32"/>
        </w:rPr>
        <w:t>万元,城乡社区支出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50</w:t>
      </w:r>
      <w:r>
        <w:rPr>
          <w:rFonts w:hint="eastAsia" w:ascii="仿宋_GB2312" w:eastAsia="仿宋_GB2312"/>
          <w:sz w:val="32"/>
          <w:szCs w:val="32"/>
        </w:rPr>
        <w:t>万元，农林水支出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3700</w:t>
      </w:r>
      <w:r>
        <w:rPr>
          <w:rFonts w:hint="eastAsia" w:ascii="仿宋_GB2312" w:eastAsia="仿宋_GB2312"/>
          <w:sz w:val="32"/>
          <w:szCs w:val="32"/>
        </w:rPr>
        <w:t>万元，住房保障支出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330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37095FC6">
      <w:pPr>
        <w:spacing w:line="500" w:lineRule="exact"/>
        <w:ind w:firstLine="643" w:firstLineChars="200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三、坚定信念，努力完成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2026</w:t>
      </w:r>
      <w:r>
        <w:rPr>
          <w:rFonts w:hint="eastAsia" w:ascii="黑体" w:eastAsia="黑体"/>
          <w:b/>
          <w:sz w:val="32"/>
          <w:szCs w:val="32"/>
        </w:rPr>
        <w:t>年财政预算任务</w:t>
      </w:r>
    </w:p>
    <w:p w14:paraId="6CB3A85D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年我们将坚持以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习近平新时代中国特色社会主义思想</w:t>
      </w:r>
      <w:r>
        <w:rPr>
          <w:rFonts w:hint="eastAsia" w:ascii="仿宋_GB2312" w:eastAsia="仿宋_GB2312"/>
          <w:sz w:val="32"/>
          <w:szCs w:val="32"/>
        </w:rPr>
        <w:t>为指导</w:t>
      </w:r>
      <w:r>
        <w:rPr>
          <w:rFonts w:hint="eastAsia" w:ascii="仿宋_GB2312" w:eastAsia="仿宋_GB2312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sz w:val="32"/>
          <w:szCs w:val="32"/>
        </w:rPr>
        <w:t>坚持统筹兼顾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量入为出，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坚持保民生、</w:t>
      </w:r>
      <w:r>
        <w:rPr>
          <w:rFonts w:hint="eastAsia" w:ascii="仿宋_GB2312" w:eastAsia="仿宋_GB2312"/>
          <w:sz w:val="32"/>
          <w:szCs w:val="32"/>
        </w:rPr>
        <w:t>保重点的原则，完善财政管理制度，进一步解放思想，开拓进取，加快改革开放的步伐，以发展谋生机，以稳定巩固发展，动员各方面的力量，继续深入地打一场“双增双节”的总体战，确保完成预算任务，实现收支平衡，着重抓好以下三方面的工作：</w:t>
      </w:r>
    </w:p>
    <w:p w14:paraId="40B273F4">
      <w:p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（一）以经济发展为中心，进一步深化改革，努力实现财政增收</w:t>
      </w:r>
      <w:r>
        <w:rPr>
          <w:rFonts w:hint="eastAsia" w:ascii="仿宋_GB2312" w:eastAsia="仿宋_GB2312"/>
          <w:sz w:val="32"/>
          <w:szCs w:val="32"/>
        </w:rPr>
        <w:t>。充分发挥财政的调控与监督职能，多渠道筹措资金，加大对企业的投入，改善企业的经营管理，提高企业的经济效益，鼓励扶持私营企业的兴旺和发展，在全社会形成一种赶帮超，竞争发展的良好经济氛围。同时，要强化对预算外资金的管理，实行财政部门统一管理，统一调配，有效使用。</w:t>
      </w:r>
    </w:p>
    <w:p w14:paraId="425E4BCD">
      <w:p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（二）实行紧缩政策，严格控制财政支出。</w:t>
      </w:r>
      <w:r>
        <w:rPr>
          <w:rFonts w:hint="eastAsia" w:ascii="仿宋_GB2312" w:eastAsia="仿宋_GB2312"/>
          <w:sz w:val="32"/>
          <w:szCs w:val="32"/>
        </w:rPr>
        <w:t>各部门要正视财政面临的困难，发扬艰苦奋斗的优良作风，精打细算，量入为出，进一步压缩财政支出，杜绝铺张浪费现象发生，要全面提高新形势下的理财意识，不该花的钱坚决不花，充分提高资金的使用效率。</w:t>
      </w:r>
    </w:p>
    <w:p w14:paraId="2857EC1F">
      <w:pPr>
        <w:spacing w:line="50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（三）加强依法理财力度，严肃财经纪律，确保国家利益不受侵犯。</w:t>
      </w:r>
      <w:r>
        <w:rPr>
          <w:rFonts w:hint="eastAsia" w:ascii="仿宋_GB2312" w:eastAsia="仿宋_GB2312"/>
          <w:sz w:val="32"/>
          <w:szCs w:val="32"/>
        </w:rPr>
        <w:t>今年我们要继续抓好经济秩序整顿工作，严格依法征收各项税费，确保应收尽收。制定严格的内部财务管理制度，规范会计行为，实现财务管理工作规范化、制度化、法制化。</w:t>
      </w:r>
    </w:p>
    <w:p w14:paraId="21010005">
      <w:pPr>
        <w:spacing w:line="50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各位代表，二0二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年财政任务艰巨而光荣，我们坚信，在镇党委、政府的正确领导下，全镇上下顽强拼搏，勇往直前，一定能够圆满完成二0二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年的收支任务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有效推进臧家庄镇各个领域的高质量发展。</w:t>
      </w:r>
    </w:p>
    <w:p w14:paraId="6B84B4E7">
      <w:pPr>
        <w:spacing w:line="500" w:lineRule="exact"/>
        <w:ind w:firstLine="2240" w:firstLineChars="700"/>
        <w:rPr>
          <w:rFonts w:ascii="仿宋_GB2312" w:eastAsia="仿宋_GB2312"/>
          <w:sz w:val="32"/>
          <w:szCs w:val="32"/>
        </w:rPr>
      </w:pPr>
    </w:p>
    <w:p w14:paraId="0A4219D6">
      <w:pPr>
        <w:spacing w:line="500" w:lineRule="exact"/>
        <w:ind w:firstLine="2240" w:firstLineChars="700"/>
        <w:rPr>
          <w:rFonts w:ascii="仿宋_GB2312" w:eastAsia="仿宋_GB2312"/>
          <w:sz w:val="32"/>
          <w:szCs w:val="32"/>
        </w:rPr>
      </w:pPr>
    </w:p>
    <w:p w14:paraId="76CD8146">
      <w:pPr>
        <w:spacing w:line="500" w:lineRule="exact"/>
        <w:ind w:firstLine="5280" w:firstLineChars="1650"/>
      </w:pPr>
      <w:r>
        <w:rPr>
          <w:rFonts w:hint="eastAsia" w:ascii="仿宋_GB2312" w:eastAsia="仿宋_GB2312"/>
          <w:sz w:val="32"/>
          <w:szCs w:val="32"/>
        </w:rPr>
        <w:t xml:space="preserve">            </w:t>
      </w:r>
      <w:bookmarkStart w:id="0" w:name="_GoBack"/>
      <w:bookmarkEnd w:id="0"/>
    </w:p>
    <w:sectPr>
      <w:footerReference r:id="rId3" w:type="default"/>
      <w:footerReference r:id="rId4" w:type="even"/>
      <w:pgSz w:w="10319" w:h="14572"/>
      <w:pgMar w:top="1474" w:right="1247" w:bottom="1247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C735F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4643EDA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EDED6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fldChar w:fldCharType="end"/>
    </w:r>
  </w:p>
  <w:p w14:paraId="7CBBA0F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MjQ4ZmY0YmFlYjM1MmUyODFlMTNiNDU3N2U2NGYifQ=="/>
  </w:docVars>
  <w:rsids>
    <w:rsidRoot w:val="00000000"/>
    <w:rsid w:val="00A811B1"/>
    <w:rsid w:val="0119677B"/>
    <w:rsid w:val="017C7753"/>
    <w:rsid w:val="028338DF"/>
    <w:rsid w:val="032A54EB"/>
    <w:rsid w:val="038C007C"/>
    <w:rsid w:val="042C4E5A"/>
    <w:rsid w:val="0431202E"/>
    <w:rsid w:val="052120A3"/>
    <w:rsid w:val="0558487E"/>
    <w:rsid w:val="05777F14"/>
    <w:rsid w:val="06E974FA"/>
    <w:rsid w:val="07AE1317"/>
    <w:rsid w:val="08571260"/>
    <w:rsid w:val="08DA2C94"/>
    <w:rsid w:val="0A382368"/>
    <w:rsid w:val="0A4C1970"/>
    <w:rsid w:val="0C4548C9"/>
    <w:rsid w:val="0C6A432F"/>
    <w:rsid w:val="0CB74D8D"/>
    <w:rsid w:val="0DFF2489"/>
    <w:rsid w:val="0F0C302E"/>
    <w:rsid w:val="0F772FAA"/>
    <w:rsid w:val="100D394F"/>
    <w:rsid w:val="166C5148"/>
    <w:rsid w:val="16DE6045"/>
    <w:rsid w:val="197456DC"/>
    <w:rsid w:val="1B132036"/>
    <w:rsid w:val="1B391A9C"/>
    <w:rsid w:val="1B6C1D97"/>
    <w:rsid w:val="1CF33ECD"/>
    <w:rsid w:val="1E646B12"/>
    <w:rsid w:val="1F2E5690"/>
    <w:rsid w:val="20385D2A"/>
    <w:rsid w:val="20BB5018"/>
    <w:rsid w:val="20C90D17"/>
    <w:rsid w:val="217F21D3"/>
    <w:rsid w:val="226F2247"/>
    <w:rsid w:val="23623B5A"/>
    <w:rsid w:val="23E10F23"/>
    <w:rsid w:val="23FA78BF"/>
    <w:rsid w:val="25333A00"/>
    <w:rsid w:val="261C4494"/>
    <w:rsid w:val="265775AB"/>
    <w:rsid w:val="27265A0A"/>
    <w:rsid w:val="27345BE0"/>
    <w:rsid w:val="27AF3AC7"/>
    <w:rsid w:val="27DA0163"/>
    <w:rsid w:val="2A670215"/>
    <w:rsid w:val="2A7C1102"/>
    <w:rsid w:val="2C8B3211"/>
    <w:rsid w:val="2CB03B88"/>
    <w:rsid w:val="2D1330EA"/>
    <w:rsid w:val="2EA80FBB"/>
    <w:rsid w:val="2FC60E3D"/>
    <w:rsid w:val="36D21A3D"/>
    <w:rsid w:val="37D23E53"/>
    <w:rsid w:val="38797524"/>
    <w:rsid w:val="39513FFD"/>
    <w:rsid w:val="3B6908E2"/>
    <w:rsid w:val="3BC90E87"/>
    <w:rsid w:val="3C622363"/>
    <w:rsid w:val="3D1705B8"/>
    <w:rsid w:val="3D69247A"/>
    <w:rsid w:val="3DC92CFC"/>
    <w:rsid w:val="3F0D2EE5"/>
    <w:rsid w:val="3FA81042"/>
    <w:rsid w:val="4105229D"/>
    <w:rsid w:val="412F79F2"/>
    <w:rsid w:val="41A04F19"/>
    <w:rsid w:val="42C872B8"/>
    <w:rsid w:val="431B756C"/>
    <w:rsid w:val="4482223F"/>
    <w:rsid w:val="45475111"/>
    <w:rsid w:val="4ADF76BB"/>
    <w:rsid w:val="4D7560B4"/>
    <w:rsid w:val="4DB7699D"/>
    <w:rsid w:val="4DCD1CCD"/>
    <w:rsid w:val="4EAB1B40"/>
    <w:rsid w:val="4F9C3073"/>
    <w:rsid w:val="5156444F"/>
    <w:rsid w:val="51690C99"/>
    <w:rsid w:val="5349426B"/>
    <w:rsid w:val="53AA2830"/>
    <w:rsid w:val="54817A35"/>
    <w:rsid w:val="549B5686"/>
    <w:rsid w:val="54F9581D"/>
    <w:rsid w:val="551933DC"/>
    <w:rsid w:val="55DF4A13"/>
    <w:rsid w:val="57CB0AD8"/>
    <w:rsid w:val="588E5F77"/>
    <w:rsid w:val="5B3C6463"/>
    <w:rsid w:val="5D901889"/>
    <w:rsid w:val="5DD24E5D"/>
    <w:rsid w:val="5EF17BC1"/>
    <w:rsid w:val="6017749F"/>
    <w:rsid w:val="63716EC6"/>
    <w:rsid w:val="638C3D00"/>
    <w:rsid w:val="66B6356E"/>
    <w:rsid w:val="67E82146"/>
    <w:rsid w:val="686030E7"/>
    <w:rsid w:val="6D1E1E6D"/>
    <w:rsid w:val="72DC2ACD"/>
    <w:rsid w:val="77885048"/>
    <w:rsid w:val="77974CF6"/>
    <w:rsid w:val="78F47C43"/>
    <w:rsid w:val="7AE308D1"/>
    <w:rsid w:val="7BB85681"/>
    <w:rsid w:val="7DB7232D"/>
    <w:rsid w:val="7F2C21C7"/>
    <w:rsid w:val="7FED68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2438</Words>
  <Characters>2569</Characters>
  <Lines>0</Lines>
  <Paragraphs>0</Paragraphs>
  <TotalTime>6</TotalTime>
  <ScaleCrop>false</ScaleCrop>
  <LinksUpToDate>false</LinksUpToDate>
  <CharactersWithSpaces>2584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2026-09-21T10:48:18Z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A2D0C18D318541A2AE51DE819F56910E</vt:lpwstr>
  </property>
  <property fmtid="{D5CDD505-2E9C-101B-9397-08002B2CF9AE}" pid="4" name="KSOTemplateDocerSaveRecord">
    <vt:lpwstr>eyJoZGlkIjoiZDZlZjJlODY2NjFiOTYyYWFlNmNjNDViMzAxN2U0MzEifQ==</vt:lpwstr>
  </property>
</Properties>
</file>